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2"/>
        <w:gridCol w:w="5733"/>
      </w:tblGrid>
      <w:tr w:rsidR="00620C26" w:rsidRPr="00A36EFB" w:rsidTr="008752B0">
        <w:trPr>
          <w:trHeight w:val="540"/>
        </w:trPr>
        <w:tc>
          <w:tcPr>
            <w:tcW w:w="362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0C26" w:rsidRPr="00A36EFB" w:rsidRDefault="00CD0174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47370D0" wp14:editId="1EAEB99D">
                  <wp:simplePos x="0" y="0"/>
                  <wp:positionH relativeFrom="column">
                    <wp:posOffset>-166</wp:posOffset>
                  </wp:positionH>
                  <wp:positionV relativeFrom="paragraph">
                    <wp:posOffset>304</wp:posOffset>
                  </wp:positionV>
                  <wp:extent cx="1837055" cy="540385"/>
                  <wp:effectExtent l="0" t="0" r="0" b="0"/>
                  <wp:wrapThrough wrapText="bothSides">
                    <wp:wrapPolygon edited="0">
                      <wp:start x="2240" y="1523"/>
                      <wp:lineTo x="2240" y="10660"/>
                      <wp:lineTo x="5600" y="15229"/>
                      <wp:lineTo x="9632" y="15991"/>
                      <wp:lineTo x="9856" y="19036"/>
                      <wp:lineTo x="11199" y="19036"/>
                      <wp:lineTo x="19711" y="15229"/>
                      <wp:lineTo x="19263" y="3807"/>
                      <wp:lineTo x="5376" y="1523"/>
                      <wp:lineTo x="2240" y="1523"/>
                    </wp:wrapPolygon>
                  </wp:wrapThrough>
                  <wp:docPr id="1" name="Picture 1" descr="CIMB Niaga Logo Syari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MB Niaga Logo Syari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0A52" w:rsidRPr="00A36EFB" w:rsidRDefault="002F0A52" w:rsidP="00537359">
            <w:pPr>
              <w:spacing w:after="0" w:line="240" w:lineRule="auto"/>
              <w:ind w:right="-216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>Ringkasan Informasi Produk dan Layanan</w:t>
            </w:r>
          </w:p>
          <w:p w:rsidR="00620C26" w:rsidRPr="00A36EFB" w:rsidRDefault="002F0A52" w:rsidP="00537359">
            <w:pPr>
              <w:spacing w:after="0" w:line="240" w:lineRule="auto"/>
              <w:ind w:right="-216"/>
              <w:rPr>
                <w:rFonts w:eastAsia="Times New Roman" w:cstheme="minorHAnsi"/>
                <w:color w:val="FFFFFF"/>
                <w:sz w:val="28"/>
                <w:szCs w:val="28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>(RIPLAY)</w:t>
            </w:r>
            <w:r w:rsidR="00D77C81" w:rsidRPr="00A36EFB">
              <w:rPr>
                <w:rFonts w:eastAsia="Times New Roman" w:cstheme="minorHAnsi"/>
                <w:noProof/>
                <w:color w:val="C00000"/>
                <w:sz w:val="28"/>
                <w:szCs w:val="28"/>
                <w:lang w:val="id-ID"/>
              </w:rPr>
              <w:t xml:space="preserve">                                            </w:t>
            </w:r>
          </w:p>
        </w:tc>
      </w:tr>
      <w:tr w:rsidR="00620C26" w:rsidRPr="00A36EFB" w:rsidTr="008752B0">
        <w:trPr>
          <w:trHeight w:val="225"/>
        </w:trPr>
        <w:tc>
          <w:tcPr>
            <w:tcW w:w="935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620C26" w:rsidRPr="00A36EFB" w:rsidRDefault="00620C26" w:rsidP="00537359">
            <w:pPr>
              <w:spacing w:after="0" w:line="276" w:lineRule="auto"/>
              <w:ind w:right="-40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</w:tr>
      <w:tr w:rsidR="00620C26" w:rsidRPr="00A36EFB" w:rsidTr="008752B0">
        <w:trPr>
          <w:trHeight w:val="510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0C26" w:rsidRPr="00CD0174" w:rsidRDefault="006A031F" w:rsidP="00CD01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 xml:space="preserve">LAYANAN </w:t>
            </w:r>
            <w:r w:rsidR="00CD0174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SUPPLY CHAIN FINANCING iB WITH RECOURSE</w:t>
            </w:r>
          </w:p>
        </w:tc>
      </w:tr>
      <w:tr w:rsidR="003A181C" w:rsidRPr="00A36EFB" w:rsidTr="008752B0">
        <w:trPr>
          <w:trHeight w:val="710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Fitur Utama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D0174" w:rsidRDefault="00CD0174" w:rsidP="00994D36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Fasilitas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pembiayaan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piutang jangka pendek dengan mengambil risiko pembayaran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(calon) </w:t>
            </w:r>
            <w:r w:rsidR="00544C15">
              <w:rPr>
                <w:rFonts w:ascii="Calibri" w:eastAsia="Times New Roman" w:hAnsi="Calibri" w:cs="Calibri"/>
                <w:noProof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asabah sebagai pemasok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bila pembeli gagal membayar faktur, agar </w:t>
            </w:r>
            <w:r w:rsidR="00DC22AE">
              <w:rPr>
                <w:rFonts w:ascii="Calibri" w:eastAsia="Times New Roman" w:hAnsi="Calibri" w:cs="Calibri"/>
                <w:noProof/>
                <w:color w:val="000000"/>
              </w:rPr>
              <w:t xml:space="preserve">(calon) Nasabah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memperoleh pembayaran atas piutang lebih cepat </w:t>
            </w:r>
            <w:r w:rsidRPr="00BD12D4">
              <w:rPr>
                <w:rFonts w:ascii="Calibri" w:eastAsia="Times New Roman" w:hAnsi="Calibri" w:cs="Calibri"/>
                <w:color w:val="000000"/>
                <w:lang w:val="id-ID"/>
              </w:rPr>
              <w:t>dari tanggal jatuh tempo faktur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.</w:t>
            </w:r>
          </w:p>
          <w:p w:rsidR="00CD0174" w:rsidRDefault="00CD0174" w:rsidP="00994D36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Calibri" w:eastAsia="Times New Roman" w:hAnsi="Calibri" w:cs="Calibri"/>
                <w:i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Akad yang digunakan adalah Layanan Penagihan (</w:t>
            </w:r>
            <w:r w:rsidRPr="00EA2E6C">
              <w:rPr>
                <w:rFonts w:ascii="Calibri" w:eastAsia="Times New Roman" w:hAnsi="Calibri" w:cs="Calibri"/>
                <w:i/>
                <w:noProof/>
                <w:color w:val="000000"/>
              </w:rPr>
              <w:t>Wakalah bil Ujrah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) yang dapat disertai dengan Dana Talangan (</w:t>
            </w:r>
            <w:r>
              <w:rPr>
                <w:rFonts w:ascii="Calibri" w:eastAsia="Times New Roman" w:hAnsi="Calibri" w:cs="Calibri"/>
                <w:i/>
                <w:noProof/>
                <w:color w:val="000000"/>
              </w:rPr>
              <w:t>Qardh).</w:t>
            </w:r>
          </w:p>
          <w:p w:rsidR="00CD0174" w:rsidRPr="00B55D31" w:rsidRDefault="00CD0174" w:rsidP="00CD0174">
            <w:pPr>
              <w:tabs>
                <w:tab w:val="left" w:pos="360"/>
              </w:tabs>
              <w:spacing w:before="120" w:after="0" w:line="240" w:lineRule="auto"/>
              <w:jc w:val="both"/>
              <w:rPr>
                <w:rFonts w:cstheme="minorHAnsi"/>
                <w:color w:val="000000"/>
                <w:lang w:val="nl-NL"/>
              </w:rPr>
            </w:pPr>
            <w:r w:rsidRPr="00B55D31">
              <w:rPr>
                <w:rFonts w:cstheme="minorHAnsi"/>
                <w:color w:val="000000"/>
                <w:lang w:val="nl-NL"/>
              </w:rPr>
              <w:t>Layanan Penagihan (</w:t>
            </w:r>
            <w:r w:rsidRPr="00B55D31">
              <w:rPr>
                <w:rFonts w:cstheme="minorHAnsi"/>
                <w:i/>
                <w:color w:val="000000"/>
                <w:lang w:val="nl-NL"/>
              </w:rPr>
              <w:t xml:space="preserve">Wakalah bil Ujrah) </w:t>
            </w:r>
            <w:r w:rsidRPr="00B55D31">
              <w:rPr>
                <w:rFonts w:cstheme="minorHAnsi"/>
                <w:color w:val="000000"/>
                <w:lang w:val="nl-NL"/>
              </w:rPr>
              <w:t>meliputi:</w:t>
            </w:r>
          </w:p>
          <w:p w:rsidR="00CD0174" w:rsidRDefault="00CD0174" w:rsidP="00994D3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cstheme="minorHAnsi"/>
                <w:color w:val="000000"/>
                <w:lang w:val="nl-NL"/>
              </w:rPr>
            </w:pPr>
            <w:r w:rsidRPr="00B55D31">
              <w:rPr>
                <w:rFonts w:cstheme="minorHAnsi"/>
                <w:color w:val="000000"/>
                <w:lang w:val="nl-NL"/>
              </w:rPr>
              <w:t xml:space="preserve">Pengurusan piutang </w:t>
            </w:r>
            <w:r w:rsidR="00F56933">
              <w:rPr>
                <w:rFonts w:cstheme="minorHAnsi"/>
                <w:color w:val="000000"/>
                <w:lang w:val="nl-NL"/>
              </w:rPr>
              <w:t xml:space="preserve">(calon) </w:t>
            </w:r>
            <w:r w:rsidRPr="00B55D31">
              <w:rPr>
                <w:rFonts w:cstheme="minorHAnsi"/>
                <w:color w:val="000000"/>
                <w:lang w:val="nl-NL"/>
              </w:rPr>
              <w:t>Nasabah, antara lain berupa pencatatan invoice dalam sistem milik Bank.</w:t>
            </w:r>
          </w:p>
          <w:p w:rsidR="003A181C" w:rsidRPr="00CD0174" w:rsidRDefault="00CD0174" w:rsidP="00994D3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spacing w:after="120" w:line="240" w:lineRule="auto"/>
              <w:ind w:left="360"/>
              <w:contextualSpacing w:val="0"/>
              <w:jc w:val="both"/>
              <w:rPr>
                <w:rFonts w:cstheme="minorHAnsi"/>
                <w:color w:val="000000"/>
                <w:lang w:val="nl-NL"/>
              </w:rPr>
            </w:pPr>
            <w:r w:rsidRPr="00CD0174">
              <w:rPr>
                <w:rFonts w:cstheme="minorHAnsi"/>
                <w:color w:val="000000"/>
                <w:lang w:val="nl-NL"/>
              </w:rPr>
              <w:t>Penagihan Piutang kepada Pembeli apabila Pembeli gagal membayar pada saat jatuh tempo Piutang. Penagihan dilakukan hingga 30 hari kalender setelah tanggal jatuh tempo Piutang.</w:t>
            </w:r>
          </w:p>
        </w:tc>
      </w:tr>
      <w:tr w:rsidR="003A181C" w:rsidRPr="00A36EFB" w:rsidTr="00CD0174">
        <w:trPr>
          <w:trHeight w:val="1637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Manfaat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D0174" w:rsidRPr="00544C15" w:rsidRDefault="00CD0174" w:rsidP="00CD017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Memberikan arus kas yang lebih awal kepada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(calon) </w:t>
            </w:r>
            <w:r w:rsidR="00544C15" w:rsidRPr="00544C15">
              <w:rPr>
                <w:rFonts w:ascii="Calibri" w:eastAsia="Times New Roman" w:hAnsi="Calibri" w:cs="Calibri"/>
                <w:noProof/>
                <w:color w:val="000000"/>
              </w:rPr>
              <w:t>N</w:t>
            </w:r>
            <w:r w:rsidRPr="00544C15">
              <w:rPr>
                <w:rFonts w:ascii="Calibri" w:eastAsia="Times New Roman" w:hAnsi="Calibri" w:cs="Calibri"/>
                <w:noProof/>
                <w:color w:val="000000"/>
              </w:rPr>
              <w:t>asabah</w:t>
            </w:r>
          </w:p>
          <w:p w:rsidR="00CD0174" w:rsidRPr="00544C15" w:rsidRDefault="00CD0174" w:rsidP="00CD017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544C15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Menghindari adanya kredit atau piutang tidak tertagih</w:t>
            </w:r>
          </w:p>
          <w:p w:rsidR="003A181C" w:rsidRPr="00A36EFB" w:rsidRDefault="00CD0174" w:rsidP="00F56933">
            <w:pPr>
              <w:pStyle w:val="Default"/>
              <w:numPr>
                <w:ilvl w:val="0"/>
                <w:numId w:val="9"/>
              </w:numPr>
              <w:spacing w:line="276" w:lineRule="auto"/>
              <w:ind w:left="384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544C15">
              <w:rPr>
                <w:rFonts w:eastAsia="Times New Roman"/>
                <w:noProof/>
                <w:sz w:val="22"/>
                <w:szCs w:val="22"/>
                <w:lang w:val="id-ID"/>
              </w:rPr>
              <w:t xml:space="preserve">Mendukung transaksi komersial pembeli dengan </w:t>
            </w:r>
            <w:r w:rsidRPr="00544C15">
              <w:rPr>
                <w:rFonts w:eastAsia="Times New Roman"/>
                <w:noProof/>
                <w:sz w:val="22"/>
                <w:szCs w:val="22"/>
              </w:rPr>
              <w:t xml:space="preserve">(calon) </w:t>
            </w:r>
            <w:r w:rsidR="00F56933">
              <w:rPr>
                <w:rFonts w:eastAsia="Times New Roman"/>
                <w:noProof/>
                <w:sz w:val="22"/>
                <w:szCs w:val="22"/>
              </w:rPr>
              <w:t>N</w:t>
            </w:r>
            <w:r w:rsidRPr="00544C15">
              <w:rPr>
                <w:rFonts w:eastAsia="Times New Roman"/>
                <w:noProof/>
                <w:sz w:val="22"/>
                <w:szCs w:val="22"/>
              </w:rPr>
              <w:t>asabah</w:t>
            </w:r>
          </w:p>
        </w:tc>
      </w:tr>
      <w:tr w:rsidR="003A181C" w:rsidRPr="00A36EFB" w:rsidTr="00CD0174">
        <w:trPr>
          <w:trHeight w:val="2267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Risiko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tbl>
            <w:tblPr>
              <w:tblW w:w="56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1"/>
            </w:tblGrid>
            <w:tr w:rsidR="003A181C" w:rsidRPr="00A36EFB" w:rsidTr="00537359">
              <w:trPr>
                <w:trHeight w:val="1192"/>
              </w:trPr>
              <w:tc>
                <w:tcPr>
                  <w:tcW w:w="5601" w:type="dxa"/>
                </w:tcPr>
                <w:p w:rsidR="00CD0174" w:rsidRPr="00CB7CDD" w:rsidRDefault="00CD0174" w:rsidP="00CD0174">
                  <w:pPr>
                    <w:spacing w:after="0" w:line="276" w:lineRule="auto"/>
                    <w:ind w:left="-90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 w:rsidRPr="00CB7CDD">
                    <w:rPr>
                      <w:rFonts w:ascii="Calibri" w:eastAsia="Times New Roman" w:hAnsi="Calibri" w:cs="Calibri"/>
                      <w:color w:val="000000"/>
                    </w:rPr>
                    <w:t xml:space="preserve">Risiko </w:t>
                  </w:r>
                  <w:r w:rsidRPr="00CB7CD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(calon) </w:t>
                  </w:r>
                  <w:r w:rsidR="00F5693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Pr="00CB7CD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</w:t>
                  </w:r>
                  <w:r w:rsidRPr="00CB7CDD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CB7CDD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>gagal mendapatkan pembayaran lebih cepat dari tanggal jatuh tempo faktur ketika</w:t>
                  </w:r>
                  <w:r w:rsidRPr="00CB7CDD"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</w:p>
                <w:p w:rsidR="00CD0174" w:rsidRDefault="00CD0174" w:rsidP="00CD0174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76" w:lineRule="auto"/>
                    <w:ind w:left="270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Limit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fasilitas </w:t>
                  </w:r>
                  <w:r w:rsidR="00544C15">
                    <w:rPr>
                      <w:rFonts w:ascii="Calibri" w:eastAsia="Times New Roman" w:hAnsi="Calibri" w:cs="Calibri"/>
                      <w:i/>
                      <w:color w:val="000000"/>
                    </w:rPr>
                    <w:t>Supply Chain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Financing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iB 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>with Recourse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(calon) </w:t>
                  </w:r>
                  <w:r w:rsidR="00F5693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 tidak tersedia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, atau</w:t>
                  </w:r>
                </w:p>
                <w:p w:rsidR="00CD0174" w:rsidRDefault="00F56933" w:rsidP="00CD0174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76" w:lineRule="auto"/>
                    <w:ind w:left="270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T</w:t>
                  </w:r>
                  <w:r w:rsidR="00CD0174" w:rsidRPr="00351DBE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erjadi penurunan kolektibilitas 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(calon) 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asabah, atau</w:t>
                  </w:r>
                </w:p>
                <w:p w:rsidR="003A181C" w:rsidRPr="00A36EFB" w:rsidRDefault="00F56933" w:rsidP="00F56933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70"/>
                    <w:jc w:val="both"/>
                    <w:rPr>
                      <w:rFonts w:cstheme="minorHAnsi"/>
                      <w:lang w:val="id-ID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F</w:t>
                  </w:r>
                  <w:r w:rsidR="00CD0174" w:rsidRPr="00103A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asilitas </w:t>
                  </w:r>
                  <w:r w:rsidR="00544C15">
                    <w:rPr>
                      <w:rFonts w:ascii="Calibri" w:eastAsia="Times New Roman" w:hAnsi="Calibri" w:cs="Calibri"/>
                      <w:i/>
                      <w:color w:val="000000"/>
                    </w:rPr>
                    <w:t>Supply Chain</w:t>
                  </w:r>
                  <w:r w:rsidR="00544C15"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Financing</w:t>
                  </w:r>
                  <w:r w:rsidR="00544C15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CD0174">
                    <w:rPr>
                      <w:rFonts w:ascii="Calibri" w:eastAsia="Times New Roman" w:hAnsi="Calibri" w:cs="Calibri"/>
                      <w:color w:val="000000"/>
                    </w:rPr>
                    <w:t xml:space="preserve">iB </w:t>
                  </w:r>
                  <w:r w:rsidR="00CD0174"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>with Recourse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(calon) 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="00CD0174"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</w:t>
                  </w:r>
                  <w:r w:rsidR="00CD0174" w:rsidRPr="00103A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telah jatuh tempo.</w:t>
                  </w:r>
                </w:p>
              </w:tc>
            </w:tr>
          </w:tbl>
          <w:p w:rsidR="003A181C" w:rsidRPr="00A36EFB" w:rsidRDefault="003A181C" w:rsidP="0053735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</w:tr>
      <w:tr w:rsidR="003A181C" w:rsidRPr="00A36EFB" w:rsidTr="00CD5AED">
        <w:trPr>
          <w:trHeight w:val="1160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754CDC" w:rsidRDefault="003A181C" w:rsidP="00537359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 xml:space="preserve">Persyaratan </w:t>
            </w:r>
            <w:r w:rsidR="00754CDC">
              <w:rPr>
                <w:rFonts w:eastAsia="Times New Roman" w:cstheme="minorHAnsi"/>
                <w:b/>
                <w:bCs/>
              </w:rPr>
              <w:t>dan Tata Cara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C15" w:rsidRPr="00BD12D4" w:rsidRDefault="00544C15" w:rsidP="00994D36">
            <w:pPr>
              <w:tabs>
                <w:tab w:val="left" w:pos="338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Persyaratan (Calon) Nasabah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sebagai </w:t>
            </w:r>
            <w:r w:rsidRPr="004A6393">
              <w:rPr>
                <w:rFonts w:ascii="Calibri" w:eastAsia="Times New Roman" w:hAnsi="Calibri" w:cs="Calibri"/>
                <w:i/>
                <w:noProof/>
                <w:color w:val="000000"/>
                <w:lang w:val="id-ID"/>
              </w:rPr>
              <w:t>Principal</w:t>
            </w:r>
          </w:p>
          <w:p w:rsidR="00544C15" w:rsidRPr="00BD12D4" w:rsidRDefault="00544C15" w:rsidP="00994D3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embuka rekening </w:t>
            </w:r>
            <w:r w:rsidR="0026323F">
              <w:rPr>
                <w:rFonts w:ascii="Calibri" w:eastAsia="Times New Roman" w:hAnsi="Calibri" w:cs="Calibri"/>
                <w:noProof/>
                <w:color w:val="000000"/>
              </w:rPr>
              <w:t xml:space="preserve">Giro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di CIMB Niaga </w:t>
            </w:r>
          </w:p>
          <w:p w:rsidR="00544C15" w:rsidRPr="00BD12D4" w:rsidRDefault="00544C15" w:rsidP="00994D3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emberikan dokumen legalitas dan finansial untuk dianalisa oleh </w:t>
            </w:r>
            <w:r w:rsidR="00F56933">
              <w:rPr>
                <w:rFonts w:ascii="Calibri" w:eastAsia="Times New Roman" w:hAnsi="Calibri" w:cs="Calibri"/>
                <w:noProof/>
                <w:color w:val="000000"/>
              </w:rPr>
              <w:t>B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ank</w:t>
            </w:r>
          </w:p>
          <w:p w:rsidR="00544C15" w:rsidRDefault="00544C15" w:rsidP="00994D3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enginformasikan daftar pembeli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atas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tagihan yang akan </w:t>
            </w:r>
            <w:r w:rsidR="00DC22AE">
              <w:rPr>
                <w:rFonts w:ascii="Calibri" w:eastAsia="Times New Roman" w:hAnsi="Calibri" w:cs="Calibri"/>
                <w:noProof/>
                <w:color w:val="000000"/>
              </w:rPr>
              <w:t>diajukan layanan penagihannya</w:t>
            </w:r>
            <w:r w:rsidR="00DC22A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ke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CIMB Niaga</w:t>
            </w:r>
          </w:p>
          <w:p w:rsidR="00754CDC" w:rsidRPr="00DC22AE" w:rsidRDefault="00544C15" w:rsidP="00994D3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544C15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544C15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enandatangani Perjanjian Kerja Sama </w:t>
            </w:r>
            <w:r w:rsidR="00F56933">
              <w:rPr>
                <w:rFonts w:ascii="Calibri" w:eastAsia="Times New Roman" w:hAnsi="Calibri" w:cs="Calibri"/>
                <w:i/>
                <w:color w:val="000000"/>
              </w:rPr>
              <w:t>Supply Chain</w:t>
            </w:r>
            <w:r w:rsidR="00F56933" w:rsidRPr="00EA2E6C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r w:rsidRPr="00544C15">
              <w:rPr>
                <w:rFonts w:ascii="Calibri" w:eastAsia="Times New Roman" w:hAnsi="Calibri" w:cs="Calibri"/>
                <w:i/>
                <w:color w:val="000000"/>
              </w:rPr>
              <w:t>Financing</w:t>
            </w:r>
            <w:r w:rsidRPr="00544C15">
              <w:rPr>
                <w:rFonts w:ascii="Calibri" w:eastAsia="Times New Roman" w:hAnsi="Calibri" w:cs="Calibri"/>
                <w:color w:val="000000"/>
              </w:rPr>
              <w:t xml:space="preserve"> iB</w:t>
            </w:r>
            <w:r w:rsidRPr="00544C15">
              <w:rPr>
                <w:rFonts w:ascii="Calibri" w:eastAsia="Times New Roman" w:hAnsi="Calibri" w:cs="Calibri"/>
                <w:i/>
                <w:color w:val="000000"/>
              </w:rPr>
              <w:t xml:space="preserve"> with Recourse</w:t>
            </w:r>
          </w:p>
          <w:p w:rsidR="00DC22AE" w:rsidRDefault="00DC22AE" w:rsidP="00994D36">
            <w:pPr>
              <w:pStyle w:val="Default"/>
              <w:numPr>
                <w:ilvl w:val="0"/>
                <w:numId w:val="33"/>
              </w:numPr>
              <w:spacing w:line="276" w:lineRule="auto"/>
              <w:ind w:left="384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A36EF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Menandatangani formulir pendaftaran electronic banking CIMB Niaga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bila menggunakan layanan BizChannelDesk</w:t>
            </w:r>
          </w:p>
          <w:p w:rsidR="00DC22AE" w:rsidRPr="00DC22AE" w:rsidRDefault="00DC22AE" w:rsidP="00994D36">
            <w:pPr>
              <w:pStyle w:val="Default"/>
              <w:numPr>
                <w:ilvl w:val="0"/>
                <w:numId w:val="33"/>
              </w:numPr>
              <w:spacing w:line="276" w:lineRule="auto"/>
              <w:ind w:left="384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A36EF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Menandatangani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aplikasi layanan API CIMB Niaga – bila menggunakan kanal API</w:t>
            </w:r>
          </w:p>
          <w:p w:rsidR="00544C15" w:rsidRDefault="00544C15" w:rsidP="00994D36">
            <w:pPr>
              <w:spacing w:before="120" w:after="0" w:line="276" w:lineRule="auto"/>
              <w:ind w:left="29"/>
              <w:jc w:val="both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>Tata Cara:</w:t>
            </w:r>
          </w:p>
          <w:p w:rsidR="00544C15" w:rsidRPr="00BD12D4" w:rsidRDefault="00544C15" w:rsidP="00994D3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alon) Nasabah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, setelah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meminta layanan pengelolaan piutang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kepada CIMB Niaga,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lalu memberitahukan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pembeli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agar membayar hutangnya k</w:t>
            </w:r>
            <w:r w:rsidR="003B0D66">
              <w:rPr>
                <w:rFonts w:ascii="Calibri" w:eastAsia="Times New Roman" w:hAnsi="Calibri" w:cs="Calibri"/>
                <w:noProof/>
                <w:color w:val="000000"/>
              </w:rPr>
              <w:t>epada Nasabah melalui rekening N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asabah di CIMB Niaga</w:t>
            </w:r>
          </w:p>
          <w:p w:rsidR="00544C15" w:rsidRPr="00BD12D4" w:rsidRDefault="00544C15" w:rsidP="00994D3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alon) Nasabah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memintakan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dana talangan 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kepada CIMB Niaga melalui Surat Instruksi Pencairan dan Akseptasi</w:t>
            </w:r>
          </w:p>
          <w:p w:rsidR="00F56933" w:rsidRPr="00C2021E" w:rsidRDefault="00544C15" w:rsidP="00994D3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CIMB Niaga melakukan pencairan dana senilai faktur</w:t>
            </w:r>
            <w:r w:rsidR="00C2021E">
              <w:rPr>
                <w:rFonts w:ascii="Calibri" w:eastAsia="Times New Roman" w:hAnsi="Calibri" w:cs="Calibri"/>
                <w:noProof/>
                <w:color w:val="000000"/>
              </w:rPr>
              <w:t xml:space="preserve"> setelah</w:t>
            </w:r>
            <w:r w:rsidRPr="00BD12D4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</w:t>
            </w:r>
            <w:r w:rsidR="00F56933" w:rsidRPr="00C2021E">
              <w:rPr>
                <w:rFonts w:ascii="Calibri" w:eastAsia="Times New Roman" w:hAnsi="Calibri" w:cs="Calibri"/>
                <w:noProof/>
                <w:color w:val="000000"/>
              </w:rPr>
              <w:t xml:space="preserve">dikurangi nilai Fee/Ujrah sesuai tabel </w:t>
            </w:r>
            <w:r w:rsidR="00F56933" w:rsidRPr="00C2021E">
              <w:rPr>
                <w:rFonts w:ascii="Calibri" w:eastAsia="Times New Roman" w:hAnsi="Calibri" w:cs="Calibri"/>
                <w:i/>
                <w:noProof/>
                <w:color w:val="000000"/>
              </w:rPr>
              <w:t>tiering</w:t>
            </w:r>
            <w:r w:rsidR="00C2021E">
              <w:rPr>
                <w:rFonts w:ascii="Calibri" w:eastAsia="Times New Roman" w:hAnsi="Calibri" w:cs="Calibri"/>
                <w:i/>
                <w:noProof/>
                <w:color w:val="000000"/>
              </w:rPr>
              <w:t xml:space="preserve"> </w:t>
            </w:r>
            <w:r w:rsidR="00C2021E" w:rsidRPr="00C2021E">
              <w:rPr>
                <w:rFonts w:ascii="Calibri" w:eastAsia="Times New Roman" w:hAnsi="Calibri" w:cs="Calibri"/>
                <w:noProof/>
                <w:color w:val="000000"/>
              </w:rPr>
              <w:t>dan biaya lainnya (jika ada).</w:t>
            </w:r>
          </w:p>
          <w:p w:rsidR="00544C15" w:rsidRPr="00544C15" w:rsidRDefault="00544C15" w:rsidP="00994D3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544C15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Pada saat jatuh tempo pembayaran faktur, pembeli membayar sesuai nilai faktur ke rekening </w:t>
            </w:r>
            <w:r w:rsidRPr="00544C15">
              <w:rPr>
                <w:rFonts w:ascii="Calibri" w:eastAsia="Times New Roman" w:hAnsi="Calibri" w:cs="Calibri"/>
                <w:color w:val="000000"/>
              </w:rPr>
              <w:t>(c</w:t>
            </w:r>
            <w:r w:rsidRPr="00544C15">
              <w:rPr>
                <w:rFonts w:ascii="Calibri" w:eastAsia="Times New Roman" w:hAnsi="Calibri" w:cs="Calibri"/>
                <w:noProof/>
                <w:color w:val="000000"/>
              </w:rPr>
              <w:t xml:space="preserve">alon) </w:t>
            </w:r>
            <w:r w:rsidR="00F56933">
              <w:rPr>
                <w:rFonts w:ascii="Calibri" w:eastAsia="Times New Roman" w:hAnsi="Calibri" w:cs="Calibri"/>
                <w:noProof/>
                <w:color w:val="000000"/>
              </w:rPr>
              <w:t>N</w:t>
            </w:r>
            <w:r w:rsidRPr="00544C15">
              <w:rPr>
                <w:rFonts w:ascii="Calibri" w:eastAsia="Times New Roman" w:hAnsi="Calibri" w:cs="Calibri"/>
                <w:noProof/>
                <w:color w:val="000000"/>
              </w:rPr>
              <w:t>asabah</w:t>
            </w:r>
            <w:r w:rsidRPr="00544C15">
              <w:rPr>
                <w:rFonts w:ascii="Calibri" w:eastAsia="Times New Roman" w:hAnsi="Calibri" w:cs="Calibri"/>
                <w:color w:val="000000"/>
                <w:lang w:val="id-ID"/>
              </w:rPr>
              <w:t xml:space="preserve"> dimana CIMB Niaga akan gunakan untuk melunasi </w:t>
            </w:r>
            <w:r w:rsidRPr="00544C15">
              <w:rPr>
                <w:rFonts w:ascii="Calibri" w:eastAsia="Times New Roman" w:hAnsi="Calibri" w:cs="Calibri"/>
                <w:color w:val="000000"/>
              </w:rPr>
              <w:t xml:space="preserve">dana talangan </w:t>
            </w:r>
            <w:r w:rsidRPr="00544C15">
              <w:rPr>
                <w:rFonts w:ascii="Calibri" w:eastAsia="Times New Roman" w:hAnsi="Calibri" w:cs="Calibri"/>
                <w:color w:val="000000"/>
                <w:lang w:val="id-ID"/>
              </w:rPr>
              <w:t xml:space="preserve">yang </w:t>
            </w:r>
            <w:r w:rsidRPr="00544C15">
              <w:rPr>
                <w:rFonts w:ascii="Calibri" w:eastAsia="Times New Roman" w:hAnsi="Calibri" w:cs="Calibri"/>
                <w:i/>
                <w:color w:val="000000"/>
                <w:lang w:val="id-ID"/>
              </w:rPr>
              <w:t>outstanding</w:t>
            </w:r>
          </w:p>
        </w:tc>
      </w:tr>
      <w:tr w:rsidR="003A181C" w:rsidRPr="00A36EFB" w:rsidTr="00E67F53">
        <w:trPr>
          <w:trHeight w:val="800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246B03" w:rsidRDefault="003A181C" w:rsidP="00544C15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 xml:space="preserve">Biaya 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C15" w:rsidRPr="00F56933" w:rsidRDefault="00544C15" w:rsidP="00544C1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56933">
              <w:rPr>
                <w:rFonts w:ascii="Calibri" w:eastAsia="Times New Roman" w:hAnsi="Calibri" w:cs="Calibri"/>
                <w:color w:val="000000"/>
                <w:u w:val="single"/>
              </w:rPr>
              <w:t>Biaya Pengajuan Fasilitas: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>B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iaya administrasi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 xml:space="preserve"> fasilitas: </w:t>
            </w:r>
            <w:r w:rsidR="00B44748">
              <w:rPr>
                <w:rFonts w:ascii="Calibri" w:eastAsia="Times New Roman" w:hAnsi="Calibri" w:cs="Calibri"/>
                <w:noProof/>
                <w:color w:val="000000"/>
              </w:rPr>
              <w:t>maksimal 2.4%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 xml:space="preserve"> dari </w:t>
            </w:r>
            <w:r w:rsidR="00B44748">
              <w:rPr>
                <w:rFonts w:ascii="Calibri" w:eastAsia="Times New Roman" w:hAnsi="Calibri" w:cs="Calibri"/>
                <w:noProof/>
                <w:color w:val="000000"/>
              </w:rPr>
              <w:t>total plafon pembiayaan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i/>
                <w:noProof/>
                <w:color w:val="000000"/>
              </w:rPr>
              <w:t>Wakalah Fee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>/</w:t>
            </w:r>
            <w:r w:rsidRPr="00F56933">
              <w:rPr>
                <w:rFonts w:ascii="Calibri" w:eastAsia="Times New Roman" w:hAnsi="Calibri" w:cs="Calibri"/>
                <w:i/>
                <w:noProof/>
                <w:color w:val="000000"/>
              </w:rPr>
              <w:t xml:space="preserve">Ujrah: </w:t>
            </w:r>
            <w:r w:rsidR="00F56933" w:rsidRPr="00F56933">
              <w:rPr>
                <w:rFonts w:ascii="Calibri" w:eastAsia="Times New Roman" w:hAnsi="Calibri" w:cs="Calibri"/>
                <w:noProof/>
                <w:color w:val="000000"/>
              </w:rPr>
              <w:t>menggunakan</w:t>
            </w:r>
            <w:r w:rsidR="00F56933">
              <w:rPr>
                <w:rFonts w:ascii="Calibri" w:eastAsia="Times New Roman" w:hAnsi="Calibri" w:cs="Calibri"/>
                <w:i/>
                <w:noProof/>
                <w:color w:val="000000"/>
              </w:rPr>
              <w:t xml:space="preserve"> </w:t>
            </w:r>
            <w:r w:rsidR="004F00BE">
              <w:rPr>
                <w:i/>
                <w:iCs/>
              </w:rPr>
              <w:t xml:space="preserve">tiering pricing </w:t>
            </w:r>
            <w:r w:rsidR="004F00BE">
              <w:t>sesuai dengan tabel yang diberikan oleh Bank kepada Nasabah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Biaya administrasi per transaksi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 xml:space="preserve"> : IDR 5,000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>Biaya Materai: IDR 10,000 per dokumen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</w:t>
            </w:r>
          </w:p>
          <w:p w:rsidR="00544C15" w:rsidRPr="00F56933" w:rsidRDefault="00544C15" w:rsidP="00994D36">
            <w:pPr>
              <w:tabs>
                <w:tab w:val="left" w:pos="2870"/>
                <w:tab w:val="left" w:pos="3070"/>
              </w:tabs>
              <w:spacing w:before="120" w:after="0" w:line="276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val="id-ID"/>
              </w:rPr>
            </w:pPr>
            <w:r w:rsidRPr="00F56933">
              <w:rPr>
                <w:rFonts w:ascii="Calibri" w:eastAsia="Times New Roman" w:hAnsi="Calibri" w:cs="Calibri"/>
                <w:color w:val="000000"/>
                <w:u w:val="single"/>
                <w:lang w:val="id-ID"/>
              </w:rPr>
              <w:t>Biaya Insidentil</w:t>
            </w:r>
          </w:p>
          <w:p w:rsidR="005557EC" w:rsidRDefault="00544C15" w:rsidP="00FB79E3">
            <w:pPr>
              <w:pStyle w:val="Default"/>
              <w:rPr>
                <w:rFonts w:eastAsia="Times New Roman"/>
                <w:noProof/>
                <w:sz w:val="22"/>
                <w:szCs w:val="22"/>
              </w:rPr>
            </w:pPr>
            <w:r w:rsidRPr="00F56933">
              <w:rPr>
                <w:rFonts w:eastAsia="Times New Roman"/>
                <w:noProof/>
                <w:sz w:val="22"/>
                <w:szCs w:val="22"/>
                <w:lang w:val="id-ID"/>
              </w:rPr>
              <w:t>Denda</w:t>
            </w:r>
            <w:r w:rsidRPr="00F56933">
              <w:rPr>
                <w:rFonts w:eastAsia="Times New Roman"/>
                <w:noProof/>
                <w:sz w:val="22"/>
                <w:szCs w:val="22"/>
              </w:rPr>
              <w:t xml:space="preserve"> Keterlambatan (Dana Kebajikan) </w:t>
            </w:r>
            <w:r w:rsidRPr="00F56933">
              <w:rPr>
                <w:rFonts w:eastAsia="Times New Roman"/>
                <w:noProof/>
                <w:sz w:val="22"/>
                <w:szCs w:val="22"/>
                <w:lang w:val="id-ID"/>
              </w:rPr>
              <w:t>:</w:t>
            </w:r>
            <w:r w:rsidRPr="00F56933">
              <w:rPr>
                <w:rFonts w:eastAsia="Times New Roman"/>
                <w:noProof/>
                <w:sz w:val="22"/>
                <w:szCs w:val="22"/>
              </w:rPr>
              <w:t xml:space="preserve"> </w:t>
            </w:r>
            <w:r w:rsidR="00FB79E3" w:rsidRPr="00FB79E3">
              <w:rPr>
                <w:sz w:val="22"/>
                <w:szCs w:val="22"/>
              </w:rPr>
              <w:t xml:space="preserve">3% p.a. + </w:t>
            </w:r>
            <w:r w:rsidR="00FB79E3" w:rsidRPr="00FB79E3">
              <w:rPr>
                <w:i/>
                <w:iCs/>
                <w:sz w:val="22"/>
                <w:szCs w:val="22"/>
              </w:rPr>
              <w:t xml:space="preserve">Equivalent Rate </w:t>
            </w:r>
            <w:r w:rsidR="00FB79E3" w:rsidRPr="00FB79E3">
              <w:rPr>
                <w:sz w:val="22"/>
                <w:szCs w:val="22"/>
              </w:rPr>
              <w:t>Fee/</w:t>
            </w:r>
            <w:r w:rsidR="00FB79E3" w:rsidRPr="00FB79E3">
              <w:rPr>
                <w:i/>
                <w:iCs/>
                <w:sz w:val="22"/>
                <w:szCs w:val="22"/>
              </w:rPr>
              <w:t>Ujrah</w:t>
            </w:r>
            <w:r w:rsidR="00FB79E3" w:rsidRPr="00FB79E3">
              <w:rPr>
                <w:sz w:val="22"/>
                <w:szCs w:val="22"/>
              </w:rPr>
              <w:t xml:space="preserve"> pembiayaan yang berlaku</w:t>
            </w:r>
          </w:p>
          <w:p w:rsidR="00C2021E" w:rsidRPr="00CE4FD3" w:rsidRDefault="00C2021E" w:rsidP="00994D36">
            <w:pPr>
              <w:pStyle w:val="Default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E4F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Biaya API Hit</w:t>
            </w:r>
          </w:p>
          <w:p w:rsidR="00C2021E" w:rsidRPr="00F56933" w:rsidRDefault="00C2021E" w:rsidP="00C2021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IDR 150 per hit – berlaku bila menggunakan kanal API</w:t>
            </w:r>
          </w:p>
        </w:tc>
      </w:tr>
      <w:tr w:rsidR="003A181C" w:rsidRPr="00A36EFB" w:rsidTr="008752B0">
        <w:trPr>
          <w:trHeight w:val="58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81C" w:rsidRPr="00A36EFB" w:rsidRDefault="006A031F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Simulasi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44C15" w:rsidRPr="00F56933" w:rsidRDefault="00544C15" w:rsidP="00544C1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color w:val="000000"/>
                <w:lang w:val="id-ID"/>
              </w:rPr>
              <w:t xml:space="preserve">Nilai faktur yang yang diberikan akseptasi oleh (calon) </w:t>
            </w:r>
            <w:r w:rsidR="00F56933" w:rsidRPr="00F56933">
              <w:rPr>
                <w:rFonts w:ascii="Calibri" w:eastAsia="Times New Roman" w:hAnsi="Calibri" w:cs="Calibri"/>
                <w:color w:val="000000"/>
              </w:rPr>
              <w:t>N</w:t>
            </w:r>
            <w:r w:rsidRPr="00F56933">
              <w:rPr>
                <w:rFonts w:ascii="Calibri" w:eastAsia="Times New Roman" w:hAnsi="Calibri" w:cs="Calibri"/>
                <w:color w:val="000000"/>
                <w:lang w:val="id-ID"/>
              </w:rPr>
              <w:t>asabah: IDR 100 juta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i/>
                <w:color w:val="000000"/>
              </w:rPr>
              <w:t>Reference Rate</w:t>
            </w:r>
            <w:r w:rsidRPr="00F56933">
              <w:rPr>
                <w:rFonts w:ascii="Calibri" w:eastAsia="Times New Roman" w:hAnsi="Calibri" w:cs="Calibri"/>
                <w:color w:val="000000"/>
              </w:rPr>
              <w:t xml:space="preserve"> untuk </w:t>
            </w:r>
            <w:r w:rsidRPr="00F56933">
              <w:rPr>
                <w:rFonts w:ascii="Calibri" w:eastAsia="Times New Roman" w:hAnsi="Calibri" w:cs="Calibri"/>
                <w:i/>
                <w:color w:val="000000"/>
              </w:rPr>
              <w:t>Wakalah Fee</w:t>
            </w:r>
            <w:r w:rsidRPr="00F56933">
              <w:rPr>
                <w:rFonts w:ascii="Calibri" w:eastAsia="Times New Roman" w:hAnsi="Calibri" w:cs="Calibri"/>
                <w:color w:val="000000"/>
              </w:rPr>
              <w:t>/</w:t>
            </w:r>
            <w:r w:rsidRPr="00F56933">
              <w:rPr>
                <w:rFonts w:ascii="Calibri" w:eastAsia="Times New Roman" w:hAnsi="Calibri" w:cs="Calibri"/>
                <w:i/>
                <w:color w:val="000000"/>
              </w:rPr>
              <w:t>Ujrah</w:t>
            </w:r>
            <w:r w:rsidRPr="00F56933">
              <w:rPr>
                <w:rFonts w:ascii="Calibri" w:eastAsia="Times New Roman" w:hAnsi="Calibri" w:cs="Calibri"/>
                <w:color w:val="000000"/>
              </w:rPr>
              <w:t xml:space="preserve"> sesuai dengan tabel </w:t>
            </w:r>
            <w:r w:rsidRPr="00F56933">
              <w:rPr>
                <w:rFonts w:ascii="Calibri" w:eastAsia="Times New Roman" w:hAnsi="Calibri" w:cs="Calibri"/>
                <w:i/>
                <w:color w:val="000000"/>
              </w:rPr>
              <w:t>tiering pricing</w:t>
            </w:r>
            <w:r w:rsidRPr="00F56933">
              <w:rPr>
                <w:rFonts w:ascii="Calibri" w:eastAsia="Times New Roman" w:hAnsi="Calibri" w:cs="Calibri"/>
                <w:color w:val="000000"/>
                <w:lang w:val="id-ID"/>
              </w:rPr>
              <w:t xml:space="preserve">: </w:t>
            </w:r>
            <w:r w:rsidRPr="00F56933">
              <w:rPr>
                <w:rFonts w:ascii="Calibri" w:eastAsia="Times New Roman" w:hAnsi="Calibri" w:cs="Calibri"/>
                <w:color w:val="000000"/>
              </w:rPr>
              <w:t>setara dengan 10.05%</w:t>
            </w:r>
            <w:r w:rsidRPr="00F56933">
              <w:rPr>
                <w:rFonts w:ascii="Calibri" w:eastAsia="Times New Roman" w:hAnsi="Calibri" w:cs="Calibri"/>
                <w:color w:val="000000"/>
                <w:lang w:val="id-ID"/>
              </w:rPr>
              <w:t xml:space="preserve"> per tahun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color w:val="000000"/>
                <w:lang w:val="id-ID"/>
              </w:rPr>
              <w:t>Tenor: 45 hari</w:t>
            </w:r>
          </w:p>
          <w:p w:rsidR="00544C15" w:rsidRPr="00F56933" w:rsidRDefault="00544C15" w:rsidP="00544C1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 xml:space="preserve">Nilai Fee/Ujrah berdasarkan tabel </w:t>
            </w:r>
            <w:r w:rsidRPr="00F56933">
              <w:rPr>
                <w:rFonts w:ascii="Calibri" w:eastAsia="Times New Roman" w:hAnsi="Calibri" w:cs="Calibri"/>
                <w:i/>
                <w:noProof/>
                <w:color w:val="000000"/>
              </w:rPr>
              <w:t>tiering</w:t>
            </w:r>
            <w:r w:rsidRPr="00F56933">
              <w:rPr>
                <w:rFonts w:ascii="Calibri" w:eastAsia="Times New Roman" w:hAnsi="Calibri" w:cs="Calibri"/>
                <w:noProof/>
                <w:color w:val="000000"/>
              </w:rPr>
              <w:t>: IDR 1.256.250</w:t>
            </w:r>
          </w:p>
          <w:p w:rsidR="003A181C" w:rsidRPr="00F56933" w:rsidRDefault="00544C15" w:rsidP="00544C15">
            <w:pPr>
              <w:pStyle w:val="Default"/>
              <w:numPr>
                <w:ilvl w:val="0"/>
                <w:numId w:val="16"/>
              </w:numPr>
              <w:spacing w:line="276" w:lineRule="auto"/>
              <w:ind w:left="384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F56933">
              <w:rPr>
                <w:rFonts w:eastAsia="Times New Roman"/>
                <w:sz w:val="22"/>
                <w:szCs w:val="22"/>
                <w:lang w:val="id-ID"/>
              </w:rPr>
              <w:t>Dana yang</w:t>
            </w:r>
            <w:r w:rsidRPr="00F56933">
              <w:rPr>
                <w:rFonts w:eastAsia="Times New Roman"/>
                <w:sz w:val="22"/>
                <w:szCs w:val="22"/>
              </w:rPr>
              <w:t xml:space="preserve"> diterima </w:t>
            </w:r>
            <w:r w:rsidR="00F56933" w:rsidRPr="00F56933">
              <w:rPr>
                <w:rFonts w:eastAsia="Times New Roman"/>
                <w:sz w:val="22"/>
                <w:szCs w:val="22"/>
                <w:lang w:val="id-ID"/>
              </w:rPr>
              <w:t xml:space="preserve">(calon) </w:t>
            </w:r>
            <w:r w:rsidR="00F56933" w:rsidRPr="00F56933">
              <w:rPr>
                <w:rFonts w:eastAsia="Times New Roman"/>
                <w:sz w:val="22"/>
                <w:szCs w:val="22"/>
              </w:rPr>
              <w:t>N</w:t>
            </w:r>
            <w:r w:rsidR="00F56933" w:rsidRPr="00F56933">
              <w:rPr>
                <w:rFonts w:eastAsia="Times New Roman"/>
                <w:sz w:val="22"/>
                <w:szCs w:val="22"/>
                <w:lang w:val="id-ID"/>
              </w:rPr>
              <w:t>asabah</w:t>
            </w:r>
            <w:r w:rsidRPr="00F56933">
              <w:rPr>
                <w:rFonts w:eastAsia="Times New Roman"/>
                <w:sz w:val="22"/>
                <w:szCs w:val="22"/>
              </w:rPr>
              <w:t>:</w:t>
            </w:r>
            <w:r w:rsidRPr="00F56933">
              <w:rPr>
                <w:rFonts w:eastAsia="Times New Roman"/>
                <w:sz w:val="22"/>
                <w:szCs w:val="22"/>
                <w:lang w:val="id-ID"/>
              </w:rPr>
              <w:t xml:space="preserve"> IDR 100 juta - IDR 1.25</w:t>
            </w:r>
            <w:r w:rsidRPr="00F56933">
              <w:rPr>
                <w:rFonts w:eastAsia="Times New Roman"/>
                <w:sz w:val="22"/>
                <w:szCs w:val="22"/>
              </w:rPr>
              <w:t>6</w:t>
            </w:r>
            <w:r w:rsidRPr="00F56933">
              <w:rPr>
                <w:rFonts w:eastAsia="Times New Roman"/>
                <w:sz w:val="22"/>
                <w:szCs w:val="22"/>
                <w:lang w:val="id-ID"/>
              </w:rPr>
              <w:t>.</w:t>
            </w:r>
            <w:r w:rsidRPr="00F56933">
              <w:rPr>
                <w:rFonts w:eastAsia="Times New Roman"/>
                <w:sz w:val="22"/>
                <w:szCs w:val="22"/>
              </w:rPr>
              <w:t>25</w:t>
            </w:r>
            <w:r w:rsidRPr="00F56933">
              <w:rPr>
                <w:rFonts w:eastAsia="Times New Roman"/>
                <w:sz w:val="22"/>
                <w:szCs w:val="22"/>
                <w:lang w:val="id-ID"/>
              </w:rPr>
              <w:t>0</w:t>
            </w:r>
            <w:r w:rsidRPr="00F56933">
              <w:rPr>
                <w:rFonts w:eastAsia="Times New Roman"/>
                <w:sz w:val="22"/>
                <w:szCs w:val="22"/>
              </w:rPr>
              <w:t xml:space="preserve"> </w:t>
            </w:r>
            <w:r w:rsidRPr="00F56933">
              <w:rPr>
                <w:rFonts w:eastAsia="Times New Roman"/>
                <w:sz w:val="22"/>
                <w:szCs w:val="22"/>
                <w:lang w:val="id-ID"/>
              </w:rPr>
              <w:t>= IDR 98.743.</w:t>
            </w:r>
            <w:r w:rsidRPr="00F56933">
              <w:rPr>
                <w:rFonts w:eastAsia="Times New Roman"/>
                <w:sz w:val="22"/>
                <w:szCs w:val="22"/>
              </w:rPr>
              <w:t>75</w:t>
            </w:r>
            <w:r w:rsidRPr="00F56933">
              <w:rPr>
                <w:rFonts w:eastAsia="Times New Roman"/>
                <w:sz w:val="22"/>
                <w:szCs w:val="22"/>
                <w:lang w:val="id-ID"/>
              </w:rPr>
              <w:t>0</w:t>
            </w:r>
          </w:p>
        </w:tc>
      </w:tr>
      <w:tr w:rsidR="003A181C" w:rsidRPr="00A36EFB" w:rsidTr="008752B0">
        <w:trPr>
          <w:trHeight w:val="58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Informasi Tambahan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3A181C" w:rsidRPr="00A36EFB" w:rsidRDefault="00544C15" w:rsidP="00C15F04">
            <w:pPr>
              <w:spacing w:after="0" w:line="276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Fasilitas </w:t>
            </w:r>
            <w:r w:rsidR="00F56933">
              <w:rPr>
                <w:rFonts w:ascii="Calibri" w:eastAsia="Times New Roman" w:hAnsi="Calibri" w:cs="Calibri"/>
                <w:i/>
                <w:color w:val="000000"/>
              </w:rPr>
              <w:t>Supply Chain</w:t>
            </w:r>
            <w:r w:rsidR="00F56933" w:rsidRPr="00EA2E6C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r w:rsidRPr="00623AB4">
              <w:rPr>
                <w:rFonts w:ascii="Calibri" w:eastAsia="Times New Roman" w:hAnsi="Calibri" w:cs="Calibri"/>
                <w:i/>
                <w:noProof/>
                <w:color w:val="000000"/>
              </w:rPr>
              <w:t>Financing iB with Recourse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dapat diproses secara manual maupun melalui </w:t>
            </w:r>
            <w:r>
              <w:rPr>
                <w:rFonts w:ascii="Calibri" w:eastAsia="Times New Roman" w:hAnsi="Calibri" w:cs="Calibri"/>
                <w:i/>
                <w:noProof/>
                <w:color w:val="000000"/>
              </w:rPr>
              <w:t>electronic banking.</w:t>
            </w:r>
          </w:p>
        </w:tc>
      </w:tr>
      <w:tr w:rsidR="003A181C" w:rsidRPr="00A36EFB" w:rsidTr="008752B0">
        <w:trPr>
          <w:trHeight w:val="1286"/>
        </w:trPr>
        <w:tc>
          <w:tcPr>
            <w:tcW w:w="3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Kontak dan Pengaduan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A031F" w:rsidRPr="004F00BE" w:rsidRDefault="006A031F" w:rsidP="005373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Untuk mendapatkan informasi lebih lanjut atau penyampaian pengaduan terkait layanan ini menghubungi alamat email:</w:t>
            </w:r>
            <w:r w:rsidR="004F00BE" w:rsidRPr="004F0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F53" w:rsidRPr="004F00BE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valuechain@cimbniaga.co.id</w:t>
            </w:r>
          </w:p>
          <w:p w:rsidR="00994D36" w:rsidRDefault="006A031F" w:rsidP="00994D36">
            <w:pPr>
              <w:pStyle w:val="Default"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Untuk pengaduan terkait sistem BizChannel dapat menghubungi alamat email:</w:t>
            </w:r>
            <w:r w:rsidR="004F00BE" w:rsidRPr="004F0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A031F" w:rsidRPr="00994D36" w:rsidRDefault="006A031F" w:rsidP="00994D3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0BE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Bizchannel.support@cimbniaga.co.id</w:t>
            </w:r>
          </w:p>
          <w:p w:rsidR="003A181C" w:rsidRPr="004F00BE" w:rsidRDefault="006A031F" w:rsidP="005373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No. Telp: 14042 </w:t>
            </w:r>
            <w:r w:rsidR="004F00BE" w:rsidRPr="004F00BE">
              <w:rPr>
                <w:rFonts w:asciiTheme="minorHAnsi" w:hAnsiTheme="minorHAnsi" w:cstheme="minorHAnsi"/>
                <w:bCs/>
                <w:sz w:val="22"/>
                <w:szCs w:val="22"/>
              </w:rPr>
              <w:t>(tekan 3)</w:t>
            </w:r>
            <w:r w:rsidR="004F00BE" w:rsidRPr="004F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6185">
              <w:rPr>
                <w:rFonts w:asciiTheme="minorHAnsi" w:hAnsiTheme="minorHAnsi" w:cstheme="minorHAnsi"/>
                <w:sz w:val="22"/>
                <w:szCs w:val="22"/>
              </w:rPr>
              <w:t>selama jam operasional Bank.</w:t>
            </w:r>
          </w:p>
          <w:p w:rsidR="005557EC" w:rsidRPr="004F00BE" w:rsidRDefault="005557EC" w:rsidP="00994D36">
            <w:pPr>
              <w:pStyle w:val="Default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Apabila terdapat pertanyaan lebih lanjut mengenai Layanan API CIMB Niaga, silahkan menghubungi </w:t>
            </w:r>
            <w:r w:rsidRPr="004F00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itsm@cimbniaga.co.id</w:t>
            </w:r>
            <w:r w:rsidRPr="004F00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 </w:t>
            </w:r>
            <w:r w:rsidRPr="004F00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Helpdesk_Digital@cimbniaga.co.id</w:t>
            </w:r>
          </w:p>
        </w:tc>
      </w:tr>
      <w:tr w:rsidR="005B5D85" w:rsidRPr="00A36EFB" w:rsidTr="008752B0">
        <w:trPr>
          <w:trHeight w:val="84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25CE" w:rsidRPr="00A36EFB" w:rsidRDefault="00FD25CE" w:rsidP="00537359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>Syarat dan Ketentuan :</w:t>
            </w:r>
          </w:p>
          <w:p w:rsidR="003A181C" w:rsidRPr="00A36EFB" w:rsidRDefault="003B0D66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27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>
              <w:rPr>
                <w:rFonts w:eastAsia="Times New Roman" w:cstheme="minorHAnsi"/>
                <w:color w:val="000000"/>
                <w:lang w:val="id-ID"/>
              </w:rPr>
              <w:t>(Calon) N</w:t>
            </w:r>
            <w:r w:rsidR="003A181C" w:rsidRPr="00A36EFB">
              <w:rPr>
                <w:rFonts w:eastAsia="Times New Roman" w:cstheme="minorHAnsi"/>
                <w:color w:val="000000"/>
                <w:lang w:val="id-ID"/>
              </w:rPr>
              <w:t xml:space="preserve">asabah telah membaca, menerima penjelasan dan memahami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3A181C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3A181C" w:rsidRPr="00A36EFB">
              <w:rPr>
                <w:rFonts w:eastAsia="Times New Roman" w:cstheme="minorHAnsi"/>
                <w:color w:val="000000"/>
                <w:lang w:val="id-ID"/>
              </w:rPr>
              <w:t>sesuai dokumen Ringkasan Informasi Produk dan Layanan (RIPLAY) ini.</w:t>
            </w:r>
          </w:p>
          <w:p w:rsidR="003A181C" w:rsidRPr="00A36EFB" w:rsidRDefault="003A181C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31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mengerti bahwa dokumen Ringkasan Informasi Produk dan Layanan (RIPLAY) ini bukan merupakan bagian dari aplikasi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.</w:t>
            </w:r>
          </w:p>
          <w:p w:rsidR="003A181C" w:rsidRPr="00A36EFB" w:rsidRDefault="003A181C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31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memahami bahwa 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wajib untuk membaca dan memahami dokumen Ringkasan Informasi Produk dan Layanan (RIPLAY) ini sebelum menandatangani perjanjian dan atau ketentuan dan persyaratan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yang berlaku di PT. Bank CIMB Niaga Tbk.</w:t>
            </w:r>
          </w:p>
          <w:p w:rsidR="005B5D85" w:rsidRDefault="003A181C" w:rsidP="005609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27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telah membaca dengan teliti dan melakukan penilaian secara mandiri atas dokumen Ringkasan Informasi Produk dan Layanan (RIPLAY) ini sebelum menandatangani perjanjian dan atau ketentuan dan persyaratan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yang berlaku di PT. Bank CIMB Niaga Tbk dan 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memahami bahwa (calon) Nasabah berhak bertanya kepada PT. Bank CIMB Niaga Tbk atas semua hal terkait dengan</w:t>
            </w:r>
            <w:r w:rsidR="003B0D66">
              <w:rPr>
                <w:rFonts w:eastAsia="Times New Roman" w:cstheme="minorHAnsi"/>
                <w:color w:val="000000"/>
              </w:rPr>
              <w:t xml:space="preserve"> </w:t>
            </w:r>
            <w:r w:rsidR="006F3EA2">
              <w:rPr>
                <w:rFonts w:eastAsia="Times New Roman" w:cstheme="minorHAnsi"/>
                <w:color w:val="000000"/>
              </w:rPr>
              <w:t>produk/</w:t>
            </w:r>
            <w:r w:rsidR="003B0D66">
              <w:rPr>
                <w:rFonts w:eastAsia="Times New Roman" w:cstheme="minorHAnsi"/>
                <w:color w:val="000000"/>
              </w:rPr>
              <w:t>layanan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dan dokumen Ringkasan Informasi Produk dan Layanan (RIPLAY) ini dan karenanya membebaskan PT. Bank CIMB Niaga Tbk dari segala tuntutan atas keputusan (calon) </w:t>
            </w:r>
            <w:r w:rsidR="003B0D66">
              <w:rPr>
                <w:rFonts w:eastAsia="Times New Roman" w:cstheme="minorHAnsi"/>
                <w:color w:val="000000"/>
                <w:lang w:val="id-ID"/>
              </w:rPr>
              <w:t>N</w:t>
            </w:r>
            <w:r w:rsidR="003B0D66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untuk menggunakan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 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PT. Bank CIMB Niaga Tbk ini.</w:t>
            </w:r>
          </w:p>
          <w:p w:rsidR="00544C15" w:rsidRDefault="00544C15" w:rsidP="00544C15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id-ID"/>
              </w:rPr>
            </w:pP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Nama (Calon) Nasabah:                                                                                  </w:t>
            </w:r>
            <w:r>
              <w:t>Pegawai/Petugas yang Menjelaskan: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994D36" w:rsidRDefault="00544C15" w:rsidP="00544C15">
            <w:pPr>
              <w:tabs>
                <w:tab w:val="left" w:pos="58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AEAAAA" w:themeColor="background2" w:themeShade="BF"/>
              </w:rPr>
            </w:pPr>
            <w:r w:rsidRPr="00994D36">
              <w:rPr>
                <w:rFonts w:ascii="Calibri" w:eastAsia="Times New Roman" w:hAnsi="Calibri" w:cs="Calibri"/>
                <w:color w:val="AEAAAA" w:themeColor="background2" w:themeShade="BF"/>
              </w:rPr>
              <w:t xml:space="preserve">Tanda Tangan (Calon) Nasabah                                                              Tanda Tangan Pegawai/Petugas                                                             </w:t>
            </w: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620C26" w:rsidRDefault="00544C15" w:rsidP="00544C15">
            <w:pPr>
              <w:tabs>
                <w:tab w:val="left" w:pos="5926"/>
                <w:tab w:val="left" w:pos="60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>Nama: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Nama:  </w:t>
            </w: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>Jabatan: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Jabatan: </w:t>
            </w: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 xml:space="preserve">Tanggal: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Tanggal:</w:t>
            </w:r>
          </w:p>
          <w:p w:rsidR="00544C15" w:rsidRPr="00544C15" w:rsidRDefault="00544C15" w:rsidP="00544C15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id-ID"/>
              </w:rPr>
            </w:pPr>
          </w:p>
        </w:tc>
      </w:tr>
    </w:tbl>
    <w:p w:rsidR="000B1610" w:rsidRPr="00A36EFB" w:rsidRDefault="00F74741" w:rsidP="00537359">
      <w:pPr>
        <w:spacing w:after="0" w:line="276" w:lineRule="auto"/>
        <w:rPr>
          <w:rFonts w:cstheme="minorHAnsi"/>
        </w:rPr>
      </w:pPr>
    </w:p>
    <w:p w:rsidR="00A36EFB" w:rsidRPr="00A36EFB" w:rsidRDefault="00A36EFB" w:rsidP="00A36EFB">
      <w:pPr>
        <w:rPr>
          <w:rFonts w:eastAsia="Times New Roman" w:cstheme="minorHAnsi"/>
          <w:b/>
          <w:sz w:val="20"/>
          <w:szCs w:val="20"/>
        </w:rPr>
      </w:pPr>
      <w:r w:rsidRPr="00A36EFB">
        <w:rPr>
          <w:rFonts w:eastAsia="Times New Roman" w:cstheme="minorHAnsi"/>
          <w:b/>
          <w:sz w:val="20"/>
          <w:szCs w:val="20"/>
        </w:rPr>
        <w:t xml:space="preserve">PT Bank CIMB Niaga Tbk berizin &amp; diawasi oleh Otoritas Jasa Keuangan &amp; Bank Indonesia serta merupakan Peserta Penjaminan LPS </w:t>
      </w:r>
    </w:p>
    <w:p w:rsidR="00A36EFB" w:rsidRPr="00A36EFB" w:rsidRDefault="00A36EFB" w:rsidP="00A36EFB">
      <w:pPr>
        <w:rPr>
          <w:rFonts w:cstheme="minorHAnsi"/>
        </w:rPr>
      </w:pPr>
    </w:p>
    <w:p w:rsidR="00537359" w:rsidRPr="00A36EFB" w:rsidRDefault="00560908" w:rsidP="00BB44AA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>Tanggal Cetak Dokumen: 2</w:t>
      </w:r>
      <w:r w:rsidR="00A36EFB" w:rsidRPr="00A36EFB">
        <w:rPr>
          <w:rFonts w:eastAsia="Times New Roman" w:cstheme="minorHAnsi"/>
          <w:b/>
          <w:color w:val="000000" w:themeColor="text1"/>
          <w:sz w:val="20"/>
          <w:szCs w:val="20"/>
        </w:rPr>
        <w:t>1/0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1</w:t>
      </w:r>
      <w:r w:rsidR="00A36EFB" w:rsidRPr="00A36EFB">
        <w:rPr>
          <w:rFonts w:eastAsia="Times New Roman" w:cstheme="minorHAnsi"/>
          <w:b/>
          <w:color w:val="000000" w:themeColor="text1"/>
          <w:sz w:val="20"/>
          <w:szCs w:val="20"/>
        </w:rPr>
        <w:t>/</w:t>
      </w:r>
      <w:r w:rsidR="00CC1CFE">
        <w:rPr>
          <w:rFonts w:eastAsia="Times New Roman" w:cstheme="minorHAnsi"/>
          <w:b/>
          <w:color w:val="000000" w:themeColor="text1"/>
          <w:sz w:val="20"/>
          <w:szCs w:val="20"/>
        </w:rPr>
        <w:t>20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25</w:t>
      </w:r>
    </w:p>
    <w:sectPr w:rsidR="00537359" w:rsidRPr="00A36EFB" w:rsidSect="00BB44A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41" w:rsidRDefault="00F74741" w:rsidP="00D674C5">
      <w:pPr>
        <w:spacing w:after="0" w:line="240" w:lineRule="auto"/>
      </w:pPr>
      <w:r>
        <w:separator/>
      </w:r>
    </w:p>
  </w:endnote>
  <w:endnote w:type="continuationSeparator" w:id="0">
    <w:p w:rsidR="00F74741" w:rsidRDefault="00F74741" w:rsidP="00D6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41" w:rsidRDefault="00F74741" w:rsidP="00D674C5">
      <w:pPr>
        <w:spacing w:after="0" w:line="240" w:lineRule="auto"/>
      </w:pPr>
      <w:r>
        <w:separator/>
      </w:r>
    </w:p>
  </w:footnote>
  <w:footnote w:type="continuationSeparator" w:id="0">
    <w:p w:rsidR="00F74741" w:rsidRDefault="00F74741" w:rsidP="00D6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AC1BD0"/>
    <w:multiLevelType w:val="hybridMultilevel"/>
    <w:tmpl w:val="FD62598A"/>
    <w:lvl w:ilvl="0" w:tplc="83B2A8E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D22F6"/>
    <w:multiLevelType w:val="hybridMultilevel"/>
    <w:tmpl w:val="6C5EEE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48E0F0"/>
    <w:multiLevelType w:val="hybridMultilevel"/>
    <w:tmpl w:val="4B28B7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1AE39C"/>
    <w:multiLevelType w:val="hybridMultilevel"/>
    <w:tmpl w:val="E626AB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3F828C"/>
    <w:multiLevelType w:val="hybridMultilevel"/>
    <w:tmpl w:val="3EA7A1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1A9530"/>
    <w:multiLevelType w:val="hybridMultilevel"/>
    <w:tmpl w:val="F97535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DE61B5"/>
    <w:multiLevelType w:val="hybridMultilevel"/>
    <w:tmpl w:val="583A1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E5393"/>
    <w:multiLevelType w:val="hybridMultilevel"/>
    <w:tmpl w:val="0EAC3BCC"/>
    <w:lvl w:ilvl="0" w:tplc="6C8E1C76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8C3420"/>
    <w:multiLevelType w:val="hybridMultilevel"/>
    <w:tmpl w:val="DD6E6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B6219"/>
    <w:multiLevelType w:val="hybridMultilevel"/>
    <w:tmpl w:val="24D46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B1073F"/>
    <w:multiLevelType w:val="hybridMultilevel"/>
    <w:tmpl w:val="5CCA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97D69"/>
    <w:multiLevelType w:val="hybridMultilevel"/>
    <w:tmpl w:val="8C7849DA"/>
    <w:lvl w:ilvl="0" w:tplc="A0EC14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1654A"/>
    <w:multiLevelType w:val="hybridMultilevel"/>
    <w:tmpl w:val="1096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71F06"/>
    <w:multiLevelType w:val="hybridMultilevel"/>
    <w:tmpl w:val="95D6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738B"/>
    <w:multiLevelType w:val="hybridMultilevel"/>
    <w:tmpl w:val="F8C8C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F51C8"/>
    <w:multiLevelType w:val="hybridMultilevel"/>
    <w:tmpl w:val="5DC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617D"/>
    <w:multiLevelType w:val="hybridMultilevel"/>
    <w:tmpl w:val="EA8A75A6"/>
    <w:lvl w:ilvl="0" w:tplc="0174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77E9"/>
    <w:multiLevelType w:val="hybridMultilevel"/>
    <w:tmpl w:val="210B7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4E54180"/>
    <w:multiLevelType w:val="hybridMultilevel"/>
    <w:tmpl w:val="3B4C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81B30"/>
    <w:multiLevelType w:val="hybridMultilevel"/>
    <w:tmpl w:val="ACCB0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4525C5"/>
    <w:multiLevelType w:val="hybridMultilevel"/>
    <w:tmpl w:val="437C5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7614"/>
    <w:multiLevelType w:val="hybridMultilevel"/>
    <w:tmpl w:val="6BCE3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F18"/>
    <w:multiLevelType w:val="hybridMultilevel"/>
    <w:tmpl w:val="AAF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2884"/>
    <w:multiLevelType w:val="hybridMultilevel"/>
    <w:tmpl w:val="CF6A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64E7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58D6"/>
    <w:multiLevelType w:val="hybridMultilevel"/>
    <w:tmpl w:val="D31E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F004E"/>
    <w:multiLevelType w:val="hybridMultilevel"/>
    <w:tmpl w:val="3752A7AC"/>
    <w:lvl w:ilvl="0" w:tplc="FB04517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1A745F"/>
    <w:multiLevelType w:val="hybridMultilevel"/>
    <w:tmpl w:val="7A00AF56"/>
    <w:lvl w:ilvl="0" w:tplc="685E4EC4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6734"/>
    <w:multiLevelType w:val="hybridMultilevel"/>
    <w:tmpl w:val="EA8A75A6"/>
    <w:lvl w:ilvl="0" w:tplc="0174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7605D"/>
    <w:multiLevelType w:val="hybridMultilevel"/>
    <w:tmpl w:val="407387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BBF3AD7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FFB94"/>
    <w:multiLevelType w:val="hybridMultilevel"/>
    <w:tmpl w:val="9244D2EA"/>
    <w:lvl w:ilvl="0" w:tplc="06D0C2B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09C54F0"/>
    <w:multiLevelType w:val="hybridMultilevel"/>
    <w:tmpl w:val="A3A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A27E4"/>
    <w:multiLevelType w:val="hybridMultilevel"/>
    <w:tmpl w:val="1FA44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54222D"/>
    <w:multiLevelType w:val="hybridMultilevel"/>
    <w:tmpl w:val="A54E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00B6E"/>
    <w:multiLevelType w:val="hybridMultilevel"/>
    <w:tmpl w:val="7B34EE38"/>
    <w:lvl w:ilvl="0" w:tplc="6660109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4236B2"/>
    <w:multiLevelType w:val="hybridMultilevel"/>
    <w:tmpl w:val="0778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1"/>
  </w:num>
  <w:num w:numId="4">
    <w:abstractNumId w:val="0"/>
  </w:num>
  <w:num w:numId="5">
    <w:abstractNumId w:val="26"/>
  </w:num>
  <w:num w:numId="6">
    <w:abstractNumId w:val="7"/>
  </w:num>
  <w:num w:numId="7">
    <w:abstractNumId w:val="22"/>
  </w:num>
  <w:num w:numId="8">
    <w:abstractNumId w:val="29"/>
  </w:num>
  <w:num w:numId="9">
    <w:abstractNumId w:val="21"/>
  </w:num>
  <w:num w:numId="10">
    <w:abstractNumId w:val="36"/>
  </w:num>
  <w:num w:numId="11">
    <w:abstractNumId w:val="25"/>
  </w:num>
  <w:num w:numId="12">
    <w:abstractNumId w:val="20"/>
  </w:num>
  <w:num w:numId="13">
    <w:abstractNumId w:val="8"/>
  </w:num>
  <w:num w:numId="14">
    <w:abstractNumId w:val="3"/>
  </w:num>
  <w:num w:numId="15">
    <w:abstractNumId w:val="19"/>
  </w:num>
  <w:num w:numId="16">
    <w:abstractNumId w:val="10"/>
  </w:num>
  <w:num w:numId="17">
    <w:abstractNumId w:val="17"/>
  </w:num>
  <w:num w:numId="18">
    <w:abstractNumId w:val="4"/>
  </w:num>
  <w:num w:numId="19">
    <w:abstractNumId w:val="2"/>
  </w:num>
  <w:num w:numId="20">
    <w:abstractNumId w:val="5"/>
  </w:num>
  <w:num w:numId="21">
    <w:abstractNumId w:val="15"/>
  </w:num>
  <w:num w:numId="22">
    <w:abstractNumId w:val="32"/>
  </w:num>
  <w:num w:numId="23">
    <w:abstractNumId w:val="1"/>
  </w:num>
  <w:num w:numId="24">
    <w:abstractNumId w:val="6"/>
  </w:num>
  <w:num w:numId="25">
    <w:abstractNumId w:val="18"/>
  </w:num>
  <w:num w:numId="26">
    <w:abstractNumId w:val="13"/>
  </w:num>
  <w:num w:numId="27">
    <w:abstractNumId w:val="28"/>
  </w:num>
  <w:num w:numId="28">
    <w:abstractNumId w:val="14"/>
  </w:num>
  <w:num w:numId="29">
    <w:abstractNumId w:val="16"/>
  </w:num>
  <w:num w:numId="30">
    <w:abstractNumId w:val="33"/>
  </w:num>
  <w:num w:numId="31">
    <w:abstractNumId w:val="23"/>
  </w:num>
  <w:num w:numId="32">
    <w:abstractNumId w:val="27"/>
  </w:num>
  <w:num w:numId="33">
    <w:abstractNumId w:val="30"/>
  </w:num>
  <w:num w:numId="34">
    <w:abstractNumId w:val="11"/>
  </w:num>
  <w:num w:numId="35">
    <w:abstractNumId w:val="34"/>
  </w:num>
  <w:num w:numId="36">
    <w:abstractNumId w:val="9"/>
  </w:num>
  <w:num w:numId="3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26"/>
    <w:rsid w:val="00010D58"/>
    <w:rsid w:val="00040ECD"/>
    <w:rsid w:val="00041E81"/>
    <w:rsid w:val="00056475"/>
    <w:rsid w:val="00063B8B"/>
    <w:rsid w:val="00073903"/>
    <w:rsid w:val="00076B62"/>
    <w:rsid w:val="00097BAB"/>
    <w:rsid w:val="000B3B4D"/>
    <w:rsid w:val="000C1131"/>
    <w:rsid w:val="000C18E3"/>
    <w:rsid w:val="000D0EE3"/>
    <w:rsid w:val="000E0F9F"/>
    <w:rsid w:val="000E6A7F"/>
    <w:rsid w:val="000F3A08"/>
    <w:rsid w:val="0012667F"/>
    <w:rsid w:val="001457B0"/>
    <w:rsid w:val="001510E8"/>
    <w:rsid w:val="00177D49"/>
    <w:rsid w:val="00186416"/>
    <w:rsid w:val="001B1272"/>
    <w:rsid w:val="001B3A6A"/>
    <w:rsid w:val="001C4172"/>
    <w:rsid w:val="001D5258"/>
    <w:rsid w:val="0020064A"/>
    <w:rsid w:val="00216829"/>
    <w:rsid w:val="00230918"/>
    <w:rsid w:val="002343AA"/>
    <w:rsid w:val="00241780"/>
    <w:rsid w:val="00246B03"/>
    <w:rsid w:val="0026323F"/>
    <w:rsid w:val="002750D6"/>
    <w:rsid w:val="002756AE"/>
    <w:rsid w:val="002A0063"/>
    <w:rsid w:val="002B2CAD"/>
    <w:rsid w:val="002C0961"/>
    <w:rsid w:val="002C2C97"/>
    <w:rsid w:val="002C4FCF"/>
    <w:rsid w:val="002E1E32"/>
    <w:rsid w:val="002F0A52"/>
    <w:rsid w:val="003137A9"/>
    <w:rsid w:val="003327B5"/>
    <w:rsid w:val="00355AB2"/>
    <w:rsid w:val="00392FE2"/>
    <w:rsid w:val="003A181C"/>
    <w:rsid w:val="003B0D66"/>
    <w:rsid w:val="003B5842"/>
    <w:rsid w:val="003C1905"/>
    <w:rsid w:val="00414323"/>
    <w:rsid w:val="00453BA9"/>
    <w:rsid w:val="00465CDD"/>
    <w:rsid w:val="004738B5"/>
    <w:rsid w:val="004909E1"/>
    <w:rsid w:val="004A2EE4"/>
    <w:rsid w:val="004C131A"/>
    <w:rsid w:val="004D281D"/>
    <w:rsid w:val="004E0E2A"/>
    <w:rsid w:val="004E2071"/>
    <w:rsid w:val="004F00BE"/>
    <w:rsid w:val="004F7F7E"/>
    <w:rsid w:val="00504F51"/>
    <w:rsid w:val="00506B05"/>
    <w:rsid w:val="00530836"/>
    <w:rsid w:val="00537359"/>
    <w:rsid w:val="00544C15"/>
    <w:rsid w:val="00545513"/>
    <w:rsid w:val="00546AC0"/>
    <w:rsid w:val="00550E53"/>
    <w:rsid w:val="005557EC"/>
    <w:rsid w:val="00560908"/>
    <w:rsid w:val="005652EE"/>
    <w:rsid w:val="005A0746"/>
    <w:rsid w:val="005B5D85"/>
    <w:rsid w:val="00614761"/>
    <w:rsid w:val="00620C26"/>
    <w:rsid w:val="00660E61"/>
    <w:rsid w:val="00691A03"/>
    <w:rsid w:val="006A031F"/>
    <w:rsid w:val="006A2D23"/>
    <w:rsid w:val="006A2FB8"/>
    <w:rsid w:val="006B46B4"/>
    <w:rsid w:val="006D60DC"/>
    <w:rsid w:val="006D67FF"/>
    <w:rsid w:val="006E2EB2"/>
    <w:rsid w:val="006F0567"/>
    <w:rsid w:val="006F1DE6"/>
    <w:rsid w:val="006F3EA2"/>
    <w:rsid w:val="006F4936"/>
    <w:rsid w:val="00702224"/>
    <w:rsid w:val="00723C8A"/>
    <w:rsid w:val="00727CA1"/>
    <w:rsid w:val="00737E26"/>
    <w:rsid w:val="00747AAE"/>
    <w:rsid w:val="00754CDC"/>
    <w:rsid w:val="007630DB"/>
    <w:rsid w:val="00765197"/>
    <w:rsid w:val="00766BC3"/>
    <w:rsid w:val="007718BA"/>
    <w:rsid w:val="00783028"/>
    <w:rsid w:val="007866B0"/>
    <w:rsid w:val="0079012D"/>
    <w:rsid w:val="007947AF"/>
    <w:rsid w:val="00795A72"/>
    <w:rsid w:val="007A1890"/>
    <w:rsid w:val="007A63D1"/>
    <w:rsid w:val="007C377E"/>
    <w:rsid w:val="007C478E"/>
    <w:rsid w:val="007C64A0"/>
    <w:rsid w:val="007D3172"/>
    <w:rsid w:val="007D6559"/>
    <w:rsid w:val="007F2C1C"/>
    <w:rsid w:val="0083421A"/>
    <w:rsid w:val="00840044"/>
    <w:rsid w:val="008466A2"/>
    <w:rsid w:val="008752B0"/>
    <w:rsid w:val="00880E6B"/>
    <w:rsid w:val="0088230A"/>
    <w:rsid w:val="008857BE"/>
    <w:rsid w:val="008910FC"/>
    <w:rsid w:val="008A43EA"/>
    <w:rsid w:val="008B4F2D"/>
    <w:rsid w:val="008B6185"/>
    <w:rsid w:val="008C737F"/>
    <w:rsid w:val="008D68F8"/>
    <w:rsid w:val="00904813"/>
    <w:rsid w:val="009224BC"/>
    <w:rsid w:val="00930AE8"/>
    <w:rsid w:val="00947094"/>
    <w:rsid w:val="009602BF"/>
    <w:rsid w:val="0098101A"/>
    <w:rsid w:val="00994D36"/>
    <w:rsid w:val="009B09AC"/>
    <w:rsid w:val="009D3D1A"/>
    <w:rsid w:val="009E6E7E"/>
    <w:rsid w:val="009F61F0"/>
    <w:rsid w:val="00A0694E"/>
    <w:rsid w:val="00A157E6"/>
    <w:rsid w:val="00A340A0"/>
    <w:rsid w:val="00A36EFB"/>
    <w:rsid w:val="00A3720A"/>
    <w:rsid w:val="00A414CA"/>
    <w:rsid w:val="00A61F1D"/>
    <w:rsid w:val="00A72530"/>
    <w:rsid w:val="00A77046"/>
    <w:rsid w:val="00A86F07"/>
    <w:rsid w:val="00A972C6"/>
    <w:rsid w:val="00AA1010"/>
    <w:rsid w:val="00AB7C67"/>
    <w:rsid w:val="00AD4B98"/>
    <w:rsid w:val="00AD58F1"/>
    <w:rsid w:val="00B0697A"/>
    <w:rsid w:val="00B2116C"/>
    <w:rsid w:val="00B259DE"/>
    <w:rsid w:val="00B44748"/>
    <w:rsid w:val="00B50DCA"/>
    <w:rsid w:val="00B82F73"/>
    <w:rsid w:val="00BB44AA"/>
    <w:rsid w:val="00BC4183"/>
    <w:rsid w:val="00BC4D58"/>
    <w:rsid w:val="00BC6A6F"/>
    <w:rsid w:val="00BD70EF"/>
    <w:rsid w:val="00C04FD3"/>
    <w:rsid w:val="00C07E71"/>
    <w:rsid w:val="00C11163"/>
    <w:rsid w:val="00C15F04"/>
    <w:rsid w:val="00C2021E"/>
    <w:rsid w:val="00C65DE2"/>
    <w:rsid w:val="00C976DB"/>
    <w:rsid w:val="00CA1C84"/>
    <w:rsid w:val="00CA7183"/>
    <w:rsid w:val="00CA7CD9"/>
    <w:rsid w:val="00CC1CFE"/>
    <w:rsid w:val="00CD0174"/>
    <w:rsid w:val="00CD5AED"/>
    <w:rsid w:val="00CE4FD3"/>
    <w:rsid w:val="00CE68CE"/>
    <w:rsid w:val="00CF0E66"/>
    <w:rsid w:val="00CF60F2"/>
    <w:rsid w:val="00D073CA"/>
    <w:rsid w:val="00D2717C"/>
    <w:rsid w:val="00D40A31"/>
    <w:rsid w:val="00D5500F"/>
    <w:rsid w:val="00D648F0"/>
    <w:rsid w:val="00D674C5"/>
    <w:rsid w:val="00D77C81"/>
    <w:rsid w:val="00D80F7F"/>
    <w:rsid w:val="00D834DB"/>
    <w:rsid w:val="00D86752"/>
    <w:rsid w:val="00DB0AE9"/>
    <w:rsid w:val="00DC0ACB"/>
    <w:rsid w:val="00DC22AE"/>
    <w:rsid w:val="00DE63C9"/>
    <w:rsid w:val="00E07CE5"/>
    <w:rsid w:val="00E41822"/>
    <w:rsid w:val="00E42111"/>
    <w:rsid w:val="00E67F53"/>
    <w:rsid w:val="00EA5BB4"/>
    <w:rsid w:val="00EB7097"/>
    <w:rsid w:val="00EC6FEB"/>
    <w:rsid w:val="00EE1D49"/>
    <w:rsid w:val="00F04AD5"/>
    <w:rsid w:val="00F12816"/>
    <w:rsid w:val="00F3596C"/>
    <w:rsid w:val="00F4253E"/>
    <w:rsid w:val="00F56933"/>
    <w:rsid w:val="00F74741"/>
    <w:rsid w:val="00F7508B"/>
    <w:rsid w:val="00FB79E3"/>
    <w:rsid w:val="00FD25CE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5AA8A-3140-4D70-9952-11212E5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7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466A2"/>
  </w:style>
  <w:style w:type="character" w:styleId="Hyperlink">
    <w:name w:val="Hyperlink"/>
    <w:basedOn w:val="DefaultParagraphFont"/>
    <w:uiPriority w:val="99"/>
    <w:unhideWhenUsed/>
    <w:rsid w:val="007D317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8A43EA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3EA"/>
    <w:rPr>
      <w:rFonts w:ascii="Times New Roman" w:eastAsia="Times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C5"/>
  </w:style>
  <w:style w:type="paragraph" w:styleId="Footer">
    <w:name w:val="footer"/>
    <w:basedOn w:val="Normal"/>
    <w:link w:val="FooterChar"/>
    <w:uiPriority w:val="99"/>
    <w:unhideWhenUsed/>
    <w:rsid w:val="00D6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C5"/>
  </w:style>
  <w:style w:type="paragraph" w:customStyle="1" w:styleId="Default">
    <w:name w:val="Default"/>
    <w:rsid w:val="006F1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3E39-62FC-499B-8353-4766E1EB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Lee</dc:creator>
  <cp:keywords/>
  <dc:description/>
  <cp:lastModifiedBy>Gagan Rahayu</cp:lastModifiedBy>
  <cp:revision>1</cp:revision>
  <cp:lastPrinted>2025-03-12T04:26:00Z</cp:lastPrinted>
  <dcterms:created xsi:type="dcterms:W3CDTF">2025-03-12T04:27:00Z</dcterms:created>
  <dcterms:modified xsi:type="dcterms:W3CDTF">2025-03-12T04:27:00Z</dcterms:modified>
</cp:coreProperties>
</file>